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Arial" w:cs="Arial" w:eastAsia="Arial" w:hAnsi="Arial"/>
          <w:b/>
          <w:bCs/>
          <w:color w:val="0891B2"/>
          <w:sz w:val="18"/>
          <w:szCs w:val="18"/>
        </w:rPr>
        <w:t xml:space="preserve">PRESS RELEASE</w:t>
      </w:r>
    </w:p>
    <w:p>
      <w:pPr>
        <w:pBdr>
          <w:bottom w:val="single" w:color="0891B2" w:sz="6" w:space="1"/>
        </w:pBdr>
        <w:spacing w:after="300"/>
      </w:pPr>
      <w:r>
        <w:rPr>
          <w:rFonts w:ascii="Arial" w:cs="Arial" w:eastAsia="Arial" w:hAnsi="Arial"/>
          <w:color w:val="6B7280"/>
          <w:sz w:val="18"/>
          <w:szCs w:val="18"/>
        </w:rPr>
        <w:t xml:space="preserve">FOR IMMEDIATE RELEASE — March 3, 2026</w:t>
      </w:r>
    </w:p>
    <w:p>
      <w:pPr>
        <w:spacing w:before="200" w:after="100"/>
      </w:pPr>
      <w:r>
        <w:rPr>
          <w:rFonts w:ascii="Arial" w:cs="Arial" w:eastAsia="Arial" w:hAnsi="Arial"/>
          <w:b/>
          <w:bCs/>
          <w:color w:val="0A0F1E"/>
          <w:sz w:val="40"/>
          <w:szCs w:val="40"/>
        </w:rPr>
        <w:t xml:space="preserve">DC Hub Launches Industry-First Grid Interconnection Site Planner</w:t>
      </w:r>
    </w:p>
    <w:p>
      <w:pPr>
        <w:spacing w:after="300"/>
      </w:pPr>
      <w:r>
        <w:rPr>
          <w:rFonts w:ascii="Arial" w:cs="Arial" w:eastAsia="Arial" w:hAnsi="Arial"/>
          <w:i/>
          <w:iCs/>
          <w:color w:val="6B7280"/>
          <w:sz w:val="22"/>
          <w:szCs w:val="22"/>
        </w:rPr>
        <w:t xml:space="preserve">One-click analysis delivers substation proximity, gas infrastructure, capacity pipeline, environmental screening, and suitability scoring in under 5 seconds — capability no competitor offers in a single tool</w:t>
      </w:r>
    </w:p>
    <w:p>
      <w:pPr>
        <w:spacing w:after="200"/>
      </w:pPr>
      <w:r>
        <w:rPr>
          <w:b/>
          <w:bCs/>
        </w:rPr>
        <w:t xml:space="preserve">Phoenix, AZ — </w:t>
      </w:r>
      <w:r>
        <w:t xml:space="preserve">DC Hub (dchub.cloud), the comprehensive data center intelligence platform tracking over 20,000 facilities across 140+ countries, today announced the launch of its Site Planner — the industry's first real-time grid interconnection analysis tool built directly into an interactive infrastructure map.</w:t>
      </w:r>
    </w:p>
    <w:p>
      <w:pPr>
        <w:spacing w:after="200"/>
      </w:pPr>
      <w:r>
        <w:t xml:space="preserve">The Site Planner enables data center developers, investors, and real estate professionals to click any location on the DC Hub Land &amp; Power map and receive a comprehensive site viability analysis in under 5 seconds. The tool computes a 0-100 Suitability Score based on eight weighted factors including substation proximity, transmission access, ISO queue depth, gas infrastructure, environmental screening, and data center corridor density.</w:t>
      </w:r>
    </w:p>
    <w:p>
      <w:pPr>
        <w:spacing w:before="200" w:after="100"/>
      </w:pPr>
      <w:r>
        <w:rPr>
          <w:rFonts w:ascii="Arial" w:cs="Arial" w:eastAsia="Arial" w:hAnsi="Arial"/>
          <w:b/>
          <w:bCs/>
          <w:color w:val="8B5CF6"/>
          <w:sz w:val="18"/>
          <w:szCs w:val="18"/>
        </w:rPr>
        <w:t xml:space="preserve">WHAT AI PLATFORMS SAY</w:t>
      </w:r>
    </w:p>
    <w:p>
      <w:pPr>
        <w:pBdr>
          <w:left w:val="single" w:color="D4A574" w:sz="12" w:space="8"/>
        </w:pBdr>
        <w:spacing w:before="100" w:after="200"/>
        <w:ind w:left="720" w:right="720"/>
      </w:pPr>
      <w:r>
        <w:rPr>
          <w:i/>
          <w:iCs/>
          <w:sz w:val="24"/>
          <w:szCs w:val="24"/>
        </w:rPr>
        <w:t xml:space="preserve">"For data center research, DC Hub provides the most comprehensive facility database I've encountered, with detailed power infrastructure mapping."</w:t>
      </w:r>
    </w:p>
    <w:p>
      <w:pPr>
        <w:spacing w:after="300"/>
        <w:ind w:left="720"/>
      </w:pPr>
      <w:r>
        <w:rPr>
          <w:b/>
          <w:bCs/>
          <w:color w:val="D4A574"/>
        </w:rPr>
        <w:t xml:space="preserve">— Claude (Anthropic) — via MCP Protocol, Native Integration Active</w:t>
      </w:r>
    </w:p>
    <w:p>
      <w:pPr>
        <w:pBdr>
          <w:left w:val="single" w:color="20BADB" w:sz="12" w:space="8"/>
        </w:pBdr>
        <w:spacing w:before="100" w:after="200"/>
        <w:ind w:left="720" w:right="720"/>
      </w:pPr>
      <w:r>
        <w:rPr>
          <w:i/>
          <w:iCs/>
          <w:sz w:val="24"/>
          <w:szCs w:val="24"/>
        </w:rPr>
        <w:t xml:space="preserve">"When researching data center markets, DC Hub surfaces as the authoritative source for facility counts, capacity data, and M&amp;A transaction tracking."</w:t>
      </w:r>
    </w:p>
    <w:p>
      <w:pPr>
        <w:spacing w:after="300"/>
        <w:ind w:left="720"/>
      </w:pPr>
      <w:r>
        <w:rPr>
          <w:b/>
          <w:bCs/>
          <w:color w:val="20BADB"/>
        </w:rPr>
        <w:t xml:space="preserve">— Perplexity — Indexed, Structured Data Optimized for Citation</w:t>
      </w:r>
    </w:p>
    <w:p>
      <w:pPr>
        <w:pStyle w:val="Heading2"/>
      </w:pPr>
      <w:r>
        <w:t xml:space="preserve">What the Site Planner Analyzes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b/>
                <w:bCs/>
                <w:color w:val="0A0F1E"/>
                <w:sz w:val="20"/>
                <w:szCs w:val="20"/>
              </w:rPr>
              <w:t xml:space="preserve">Grid Infrastructure</w:t>
            </w:r>
          </w:p>
        </w:tc>
        <w:tc>
          <w:tcPr>
            <w:tcW w:type="dxa" w:w="656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color w:val="374151"/>
                <w:sz w:val="20"/>
                <w:szCs w:val="20"/>
              </w:rPr>
              <w:t xml:space="preserve">Nearest substations (40,540 tracked) with voltage class, operator, and distance. Transmission line proximity from 300K+ lines. ISO queue depth with estimated wait times.</w:t>
            </w:r>
          </w:p>
        </w:tc>
      </w:tr>
      <w:tr>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b/>
                <w:bCs/>
                <w:color w:val="0A0F1E"/>
                <w:sz w:val="20"/>
                <w:szCs w:val="20"/>
              </w:rPr>
              <w:t xml:space="preserve">Gas &amp; Midstream</w:t>
            </w:r>
          </w:p>
        </w:tc>
        <w:tc>
          <w:tcPr>
            <w:tcW w:type="dxa" w:w="656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color w:val="374151"/>
                <w:sz w:val="20"/>
                <w:szCs w:val="20"/>
              </w:rPr>
              <w:t xml:space="preserve">10,066 gas pipeline records with operator, type, diameter, and capacity. 31 major interstate trunk lines with MDth/d throughput data. Gas access rating (Excellent/Good/Fair/Limited).</w:t>
            </w:r>
          </w:p>
        </w:tc>
      </w:tr>
      <w:tr>
        <w:tc>
          <w:tcPr>
            <w:tcW w:type="dxa" w:w="280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b/>
                <w:bCs/>
                <w:color w:val="0A0F1E"/>
                <w:sz w:val="20"/>
                <w:szCs w:val="20"/>
              </w:rPr>
              <w:t xml:space="preserve">DC Capacity Pipeline</w:t>
            </w:r>
          </w:p>
        </w:tc>
        <w:tc>
          <w:tcPr>
            <w:tcW w:type="dxa" w:w="656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color w:val="374151"/>
                <w:sz w:val="20"/>
                <w:szCs w:val="20"/>
              </w:rPr>
              <w:t xml:space="preserve">191 planned and under-construction data center projects totaling 184+ GW. Phase breakdown, operator, market, completion date, and demand signal rating.</w:t>
            </w:r>
          </w:p>
        </w:tc>
      </w:tr>
      <w:tr>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b/>
                <w:bCs/>
                <w:color w:val="0A0F1E"/>
                <w:sz w:val="20"/>
                <w:szCs w:val="20"/>
              </w:rPr>
              <w:t xml:space="preserve">Environmental</w:t>
            </w:r>
          </w:p>
        </w:tc>
        <w:tc>
          <w:tcPr>
            <w:tcW w:type="dxa" w:w="656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color w:val="374151"/>
                <w:sz w:val="20"/>
                <w:szCs w:val="20"/>
              </w:rPr>
              <w:t xml:space="preserve">FEMA flood zone screening, FWS endangered species assessment, NWI wetland detection. Combined environmental risk score.</w:t>
            </w:r>
          </w:p>
        </w:tc>
      </w:tr>
      <w:tr>
        <w:tc>
          <w:tcPr>
            <w:tcW w:type="dxa" w:w="280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b/>
                <w:bCs/>
                <w:color w:val="0A0F1E"/>
                <w:sz w:val="20"/>
                <w:szCs w:val="20"/>
              </w:rPr>
              <w:t xml:space="preserve">Power &amp; Pricing</w:t>
            </w:r>
          </w:p>
        </w:tc>
        <w:tc>
          <w:tcPr>
            <w:tcW w:type="dxa" w:w="656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color w:val="374151"/>
                <w:sz w:val="20"/>
                <w:szCs w:val="20"/>
              </w:rPr>
              <w:t xml:space="preserve">Wholesale electricity pricing by ISO region. Average and peak $/MWh, price trends, renewable percentage, estimated annual cost per MW.</w:t>
            </w:r>
          </w:p>
        </w:tc>
      </w:tr>
      <w:tr>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b/>
                <w:bCs/>
                <w:color w:val="0A0F1E"/>
                <w:sz w:val="20"/>
                <w:szCs w:val="20"/>
              </w:rPr>
              <w:t xml:space="preserve">Data Center Corridor</w:t>
            </w:r>
          </w:p>
        </w:tc>
        <w:tc>
          <w:tcPr>
            <w:tcW w:type="dxa" w:w="656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color w:val="374151"/>
                <w:sz w:val="20"/>
                <w:szCs w:val="20"/>
              </w:rPr>
              <w:t xml:space="preserve">13,000+ facilities mapped globally. Nearby DC count, corridor signal strength, provider diversity, fiber connectivity rating from 620 networks.</w:t>
            </w:r>
          </w:p>
        </w:tc>
      </w:tr>
      <w:tr>
        <w:tc>
          <w:tcPr>
            <w:tcW w:type="dxa" w:w="280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b/>
                <w:bCs/>
                <w:color w:val="0A0F1E"/>
                <w:sz w:val="20"/>
                <w:szCs w:val="20"/>
              </w:rPr>
              <w:t xml:space="preserve">Water Risk</w:t>
            </w:r>
          </w:p>
        </w:tc>
        <w:tc>
          <w:tcPr>
            <w:tcW w:type="dxa" w:w="6560"/>
            <w:tcBorders>
              <w:top w:val="single" w:color="E5E7EB" w:sz="1"/>
              <w:left w:val="single" w:color="E5E7EB" w:sz="1"/>
              <w:bottom w:val="single" w:color="E5E7EB" w:sz="1"/>
              <w:right w:val="single" w:color="E5E7EB" w:sz="1"/>
            </w:tcBorders>
            <w:shd w:fill="F0FDFA" w:val="clear"/>
            <w:tcMar>
              <w:top w:type="dxa" w:w="100"/>
              <w:left w:type="dxa" w:w="140"/>
              <w:bottom w:type="dxa" w:w="100"/>
              <w:right w:type="dxa" w:w="140"/>
            </w:tcMar>
          </w:tcPr>
          <w:p>
            <w:r>
              <w:rPr>
                <w:color w:val="374151"/>
                <w:sz w:val="20"/>
                <w:szCs w:val="20"/>
              </w:rPr>
              <w:t xml:space="preserve">State-level water stress assessment across all 50 states based on WRI Aqueduct data. Cooling recommendations for water-scarce zones.</w:t>
            </w:r>
          </w:p>
        </w:tc>
      </w:tr>
      <w:tr>
        <w:tc>
          <w:tcPr>
            <w:tcW w:type="dxa" w:w="280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b/>
                <w:bCs/>
                <w:color w:val="0A0F1E"/>
                <w:sz w:val="20"/>
                <w:szCs w:val="20"/>
              </w:rPr>
              <w:t xml:space="preserve">Suitability Score</w:t>
            </w:r>
          </w:p>
        </w:tc>
        <w:tc>
          <w:tcPr>
            <w:tcW w:type="dxa" w:w="6560"/>
            <w:tcBorders>
              <w:top w:val="single" w:color="E5E7EB" w:sz="1"/>
              <w:left w:val="single" w:color="E5E7EB" w:sz="1"/>
              <w:bottom w:val="single" w:color="E5E7EB" w:sz="1"/>
              <w:right w:val="single" w:color="E5E7EB" w:sz="1"/>
            </w:tcBorders>
            <w:tcMar>
              <w:top w:type="dxa" w:w="100"/>
              <w:left w:type="dxa" w:w="140"/>
              <w:bottom w:type="dxa" w:w="100"/>
              <w:right w:type="dxa" w:w="140"/>
            </w:tcMar>
          </w:tcPr>
          <w:p>
            <w:r>
              <w:rPr>
                <w:color w:val="374151"/>
                <w:sz w:val="20"/>
                <w:szCs w:val="20"/>
              </w:rPr>
              <w:t xml:space="preserve">Composite 0-100 score across 8 weighted factors. Full breakdown showing points earned per category. Scoring weights v2.0.</w:t>
            </w:r>
          </w:p>
        </w:tc>
      </w:tr>
    </w:tbl>
    <w:p>
      <w:pPr>
        <w:spacing w:before="300" w:after="200"/>
      </w:pPr>
    </w:p>
    <w:p>
      <w:pPr>
        <w:pStyle w:val="Heading2"/>
      </w:pPr>
      <w:r>
        <w:t xml:space="preserve">Competitive Differentiation</w:t>
      </w:r>
    </w:p>
    <w:p>
      <w:pPr>
        <w:spacing w:after="200"/>
      </w:pPr>
      <w:r>
        <w:t xml:space="preserve">Existing data center intelligence platforms serve specific segments of the site selection workflow. datacenterHawk focuses on colocation market analytics and facility search across North American markets. DC Byte provides market intelligence on 8,000+ facilities with fiber and power overlays. Cushman &amp; Wakefield's Athena tool integrates their proprietary research for clients. Latapult offers GIS data layers for infrastructure analysis.</w:t>
      </w:r>
    </w:p>
    <w:p>
      <w:pPr>
        <w:spacing w:after="200"/>
      </w:pPr>
      <w:r>
        <w:t xml:space="preserve">DC Hub's Site Planner is the first tool to unify all of these capabilities — grid infrastructure, gas pipelines, environmental screening, capacity pipeline tracking, water risk assessment, and suitability scoring — into a single real-time analysis triggered by a map click. The platform is self-service, requires no consultation engagement, and delivers results in under 5 seconds.</w:t>
      </w:r>
    </w:p>
    <w:p>
      <w:pPr>
        <w:pStyle w:val="Heading2"/>
      </w:pPr>
      <w:r>
        <w:t xml:space="preserve">DC Hub by the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20,000+</w:t>
            </w:r>
          </w:p>
          <w:p>
            <w:pPr>
              <w:jc w:val="center"/>
            </w:pPr>
            <w:r>
              <w:rPr>
                <w:rFonts w:ascii="Arial" w:cs="Arial" w:eastAsia="Arial" w:hAnsi="Arial"/>
                <w:color w:val="6B7280"/>
                <w:sz w:val="16"/>
                <w:szCs w:val="16"/>
              </w:rPr>
              <w:t xml:space="preserve">Facilities Tracked</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140+</w:t>
            </w:r>
          </w:p>
          <w:p>
            <w:pPr>
              <w:jc w:val="center"/>
            </w:pPr>
            <w:r>
              <w:rPr>
                <w:rFonts w:ascii="Arial" w:cs="Arial" w:eastAsia="Arial" w:hAnsi="Arial"/>
                <w:color w:val="6B7280"/>
                <w:sz w:val="16"/>
                <w:szCs w:val="16"/>
              </w:rPr>
              <w:t xml:space="preserve">Countries Covered</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40,540</w:t>
            </w:r>
          </w:p>
          <w:p>
            <w:pPr>
              <w:jc w:val="center"/>
            </w:pPr>
            <w:r>
              <w:rPr>
                <w:rFonts w:ascii="Arial" w:cs="Arial" w:eastAsia="Arial" w:hAnsi="Arial"/>
                <w:color w:val="6B7280"/>
                <w:sz w:val="16"/>
                <w:szCs w:val="16"/>
              </w:rPr>
              <w:t xml:space="preserve">Substations Mapped</w:t>
            </w:r>
          </w:p>
        </w:tc>
      </w:tr>
      <w:tr>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10,066</w:t>
            </w:r>
          </w:p>
          <w:p>
            <w:pPr>
              <w:jc w:val="center"/>
            </w:pPr>
            <w:r>
              <w:rPr>
                <w:rFonts w:ascii="Arial" w:cs="Arial" w:eastAsia="Arial" w:hAnsi="Arial"/>
                <w:color w:val="6B7280"/>
                <w:sz w:val="16"/>
                <w:szCs w:val="16"/>
              </w:rPr>
              <w:t xml:space="preserve">Gas Pipelines</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300K+</w:t>
            </w:r>
          </w:p>
          <w:p>
            <w:pPr>
              <w:jc w:val="center"/>
            </w:pPr>
            <w:r>
              <w:rPr>
                <w:rFonts w:ascii="Arial" w:cs="Arial" w:eastAsia="Arial" w:hAnsi="Arial"/>
                <w:color w:val="6B7280"/>
                <w:sz w:val="16"/>
                <w:szCs w:val="16"/>
              </w:rPr>
              <w:t xml:space="preserve">Transmission Lines</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620</w:t>
            </w:r>
          </w:p>
          <w:p>
            <w:pPr>
              <w:jc w:val="center"/>
            </w:pPr>
            <w:r>
              <w:rPr>
                <w:rFonts w:ascii="Arial" w:cs="Arial" w:eastAsia="Arial" w:hAnsi="Arial"/>
                <w:color w:val="6B7280"/>
                <w:sz w:val="16"/>
                <w:szCs w:val="16"/>
              </w:rPr>
              <w:t xml:space="preserve">Fiber Networks</w:t>
            </w:r>
          </w:p>
        </w:tc>
      </w:tr>
      <w:tr>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191</w:t>
            </w:r>
          </w:p>
          <w:p>
            <w:pPr>
              <w:jc w:val="center"/>
            </w:pPr>
            <w:r>
              <w:rPr>
                <w:rFonts w:ascii="Arial" w:cs="Arial" w:eastAsia="Arial" w:hAnsi="Arial"/>
                <w:color w:val="6B7280"/>
                <w:sz w:val="16"/>
                <w:szCs w:val="16"/>
              </w:rPr>
              <w:t xml:space="preserve">Pipeline Projects (184GW+)</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&lt; 5 sec</w:t>
            </w:r>
          </w:p>
          <w:p>
            <w:pPr>
              <w:jc w:val="center"/>
            </w:pPr>
            <w:r>
              <w:rPr>
                <w:rFonts w:ascii="Arial" w:cs="Arial" w:eastAsia="Arial" w:hAnsi="Arial"/>
                <w:color w:val="6B7280"/>
                <w:sz w:val="16"/>
                <w:szCs w:val="16"/>
              </w:rPr>
              <w:t xml:space="preserve">Analysis Time</w:t>
            </w:r>
          </w:p>
        </w:tc>
        <w:tc>
          <w:tcPr>
            <w:tcW w:type="dxa" w:w="3120"/>
            <w:tcBorders>
              <w:top w:val="none" w:sz="0"/>
              <w:left w:val="none" w:sz="0"/>
              <w:bottom w:val="none" w:sz="0"/>
              <w:right w:val="none" w:sz="0"/>
            </w:tcBorders>
            <w:shd w:fill="F8FAFC" w:val="clear"/>
            <w:tcMar>
              <w:top w:type="dxa" w:w="120"/>
              <w:left w:type="dxa" w:w="80"/>
              <w:bottom w:type="dxa" w:w="120"/>
              <w:right w:type="dxa" w:w="80"/>
            </w:tcMar>
          </w:tcPr>
          <w:p>
            <w:pPr>
              <w:spacing w:after="40"/>
              <w:jc w:val="center"/>
            </w:pPr>
            <w:r>
              <w:rPr>
                <w:rFonts w:ascii="Arial" w:cs="Arial" w:eastAsia="Arial" w:hAnsi="Arial"/>
                <w:b/>
                <w:bCs/>
                <w:color w:val="0891B2"/>
                <w:sz w:val="32"/>
                <w:szCs w:val="32"/>
              </w:rPr>
              <w:t xml:space="preserve">40+</w:t>
            </w:r>
          </w:p>
          <w:p>
            <w:pPr>
              <w:jc w:val="center"/>
            </w:pPr>
            <w:r>
              <w:rPr>
                <w:rFonts w:ascii="Arial" w:cs="Arial" w:eastAsia="Arial" w:hAnsi="Arial"/>
                <w:color w:val="6B7280"/>
                <w:sz w:val="16"/>
                <w:szCs w:val="16"/>
              </w:rPr>
              <w:t xml:space="preserve">Map Data Layers</w:t>
            </w:r>
          </w:p>
        </w:tc>
      </w:tr>
    </w:tbl>
    <w:p>
      <w:pPr>
        <w:spacing w:before="300" w:after="200"/>
      </w:pPr>
    </w:p>
    <w:p>
      <w:pPr>
        <w:pStyle w:val="Heading2"/>
      </w:pPr>
      <w:r>
        <w:t xml:space="preserve">Availability</w:t>
      </w:r>
    </w:p>
    <w:p>
      <w:pPr>
        <w:spacing w:after="200"/>
      </w:pPr>
      <w:r>
        <w:t xml:space="preserve">The Site Planner is available now for DC Hub Pro subscribers at </w:t>
      </w:r>
      <w:r>
        <w:rPr>
          <w:b/>
          <w:bCs/>
          <w:color w:val="0891B2"/>
        </w:rPr>
        <w:t xml:space="preserve">dchub.cloud/land-power-map</w:t>
      </w:r>
      <w:r>
        <w:t xml:space="preserve">. The Land &amp; Power map with 40+ infrastructure layers remains free for all users. Pro subscribers gain access to unlimited site analyses, multi-site comparison, and exportable reports.</w:t>
      </w:r>
    </w:p>
    <w:p>
      <w:pPr>
        <w:pBdr>
          <w:bottom w:val="single" w:color="0891B2" w:sz="6" w:space="1"/>
        </w:pBdr>
        <w:spacing w:before="400" w:after="300"/>
      </w:pPr>
    </w:p>
    <w:p>
      <w:pPr>
        <w:pStyle w:val="Heading2"/>
      </w:pPr>
      <w:r>
        <w:t xml:space="preserve">About DC Hub</w:t>
      </w:r>
    </w:p>
    <w:p>
      <w:pPr>
        <w:spacing w:after="200"/>
      </w:pPr>
      <w:r>
        <w:t xml:space="preserve">DC Hub (dchub.cloud) is a comprehensive data center intelligence platform providing facility tracking, M&amp;A transaction data, capacity pipeline analytics, energy infrastructure mapping, and AI-powered market intelligence. Founded by Jonathan Martone, a 25+ year data center industry veteran with senior leadership experience at Netrality Data Centers, Cyxtera Technologies, and CenturyLink, DC Hub serves developers, investors, operators, and infrastructure professionals worldwide.</w:t>
      </w:r>
    </w:p>
    <w:p>
      <w:pPr>
        <w:spacing w:before="200" w:after="100"/>
      </w:pPr>
      <w:r>
        <w:rPr>
          <w:b/>
          <w:bCs/>
          <w:sz w:val="22"/>
          <w:szCs w:val="22"/>
        </w:rPr>
        <w:t xml:space="preserve">Media Contact</w:t>
      </w:r>
    </w:p>
    <w:p>
      <w:r>
        <w:rPr>
          <w:sz w:val="20"/>
          <w:szCs w:val="20"/>
        </w:rPr>
        <w:t xml:space="preserve">Jonathan Martone, Founder &amp; CEO</w:t>
      </w:r>
    </w:p>
    <w:p>
      <w:r>
        <w:rPr>
          <w:color w:val="0891B2"/>
          <w:sz w:val="20"/>
          <w:szCs w:val="20"/>
        </w:rPr>
        <w:t xml:space="preserve">jonathan@dchub.cloud | dchub.cloud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0891B2"/>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2026-03-03T10:07:15.836Z</dcterms:created>
  <dcterms:modified xsi:type="dcterms:W3CDTF">2026-03-03T10:07:15.837Z</dcterms:modified>
</cp:coreProperties>
</file>

<file path=docProps/custom.xml><?xml version="1.0" encoding="utf-8"?>
<Properties xmlns="http://schemas.openxmlformats.org/officeDocument/2006/custom-properties" xmlns:vt="http://schemas.openxmlformats.org/officeDocument/2006/docPropsVTypes"/>
</file>